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560" w:firstLineChars="200"/>
        <w:jc w:val="center"/>
        <w:rPr>
          <w:rFonts w:hint="eastAsia" w:ascii="黑体" w:hAnsi="黑体" w:eastAsia="黑体" w:cs="黑体"/>
          <w:i w:val="0"/>
          <w:iCs w:val="0"/>
          <w:caps w:val="0"/>
          <w:color w:val="000000"/>
          <w:spacing w:val="0"/>
          <w:sz w:val="28"/>
          <w:szCs w:val="28"/>
          <w:bdr w:val="none" w:color="auto" w:sz="0" w:space="0"/>
        </w:rPr>
      </w:pPr>
      <w:r>
        <w:rPr>
          <w:rFonts w:hint="eastAsia" w:ascii="黑体" w:hAnsi="黑体" w:eastAsia="黑体" w:cs="黑体"/>
          <w:i w:val="0"/>
          <w:iCs w:val="0"/>
          <w:caps w:val="0"/>
          <w:color w:val="000000"/>
          <w:spacing w:val="0"/>
          <w:sz w:val="28"/>
          <w:szCs w:val="28"/>
          <w:bdr w:val="none" w:color="auto" w:sz="0" w:space="0"/>
        </w:rPr>
        <w:t>习</w:t>
      </w:r>
      <w:bookmarkStart w:id="0" w:name="_GoBack"/>
      <w:bookmarkEnd w:id="0"/>
      <w:r>
        <w:rPr>
          <w:rFonts w:hint="eastAsia" w:ascii="黑体" w:hAnsi="黑体" w:eastAsia="黑体" w:cs="黑体"/>
          <w:i w:val="0"/>
          <w:iCs w:val="0"/>
          <w:caps w:val="0"/>
          <w:color w:val="000000"/>
          <w:spacing w:val="0"/>
          <w:sz w:val="28"/>
          <w:szCs w:val="28"/>
          <w:bdr w:val="none" w:color="auto" w:sz="0" w:space="0"/>
        </w:rPr>
        <w:t>近平在哲学社会科学工作座谈会上的讲话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firstLineChars="200"/>
        <w:jc w:val="center"/>
        <w:rPr>
          <w:rFonts w:hint="eastAsia" w:ascii="宋体" w:hAnsi="宋体" w:eastAsia="宋体" w:cs="宋体"/>
          <w:i w:val="0"/>
          <w:iCs w:val="0"/>
          <w:caps w:val="0"/>
          <w:color w:val="00000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firstLineChars="20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刚才，几位同志讲得很好，很多是真知灼见、肺腑之言，听了很受启发。下面，我就几个问题讲点意见，同大家交流讨论。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sz w:val="21"/>
          <w:szCs w:val="21"/>
          <w:bdr w:val="none" w:color="auto" w:sz="0" w:space="0"/>
        </w:rPr>
        <w:t>第一个问题：坚持和发展中国特色社会主义必须高度重视哲学社会科学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sz w:val="21"/>
          <w:szCs w:val="21"/>
          <w:bdr w:val="none" w:color="auto" w:sz="0" w:space="0"/>
        </w:rPr>
        <w:t>第二个问题：坚持马克思主义在我国哲学社会科学领域的指导地位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坚持以马克思主义为指导，是当代中国哲学社会科学区别于其他哲学社会科学的根本标志，必须旗帜鲜明加以坚持。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马克思主义中国化取得了重大成果，但还远未结束。我国哲学社会科学的一项重要任务就是继续推进马克思主义中国化、时代化、大众化，继续发展21世纪马克思主义、当代中国马克思主义。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我国广大哲学社会科学工作者要自觉坚持以马克思主义为指导，自觉把中国特色社会主义理论体系贯穿研究和教学全过程，转化为清醒的理论自觉、坚定的政治信念、科学的思维方法。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做主的国家，党和国家一切工作的出发点和落脚点是实现好、维护好、发展好最广大人民的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sz w:val="21"/>
          <w:szCs w:val="21"/>
          <w:bdr w:val="none" w:color="auto" w:sz="0" w:space="0"/>
        </w:rPr>
        <w:t>第三个问题：加快构建中国特色哲学社会科学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中国特色哲学社会科学应该具有什么特点呢？我认为，要把握住以下3个主要方面。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sz w:val="21"/>
          <w:szCs w:val="21"/>
          <w:bdr w:val="none" w:color="auto" w:sz="0" w:space="0"/>
        </w:rPr>
        <w:t>第四个问题：加强和改善党对哲学社会科学工作的领导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哲学社会科学事业是党和人民的重要事业，哲学社会科学战线是党和人民的重要战线。加强和改善党对哲学社会科学工作的领导，是繁荣发展我国哲学社会科学事业的根本保证。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须、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7110C"/>
    <w:rsid w:val="3DD21D19"/>
    <w:rsid w:val="7AF8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2022-05-18T03:13:31Z</dcterms:created>
  <dc:creator>Administrator</dc:creator>
  <cp:lastModifiedBy>付洪泉</cp:lastModifiedBy>
  <dcterms:modified xsi:type="dcterms:W3CDTF">2022-05-19T03:22:39Z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9EB08FA14820417AAFFB5E32DC71D860</vt:lpwstr>
  </property>
</Properties>
</file>